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VOkzlemnycme"/>
        <w:spacing w:before="60" w:after="60"/>
        <w:rPr/>
      </w:pPr>
      <w:r>
        <w:rPr/>
        <w:t>A kÖzlemény címe</w:t>
      </w:r>
    </w:p>
    <w:p>
      <w:pPr>
        <w:pStyle w:val="SVOszerzk"/>
        <w:rPr>
          <w:vertAlign w:val="superscript"/>
        </w:rPr>
      </w:pPr>
      <w:r>
        <w:rPr/>
        <w:t>Sodomai Edömér</w:t>
      </w:r>
      <w:r>
        <w:rPr>
          <w:vertAlign w:val="superscript"/>
        </w:rPr>
        <w:t>1*</w:t>
      </w:r>
      <w:r>
        <w:rPr/>
        <w:t>, Gipsz Jakab</w:t>
      </w:r>
      <w:r>
        <w:rPr>
          <w:vertAlign w:val="superscript"/>
        </w:rPr>
        <w:t>2</w:t>
      </w:r>
      <w:r>
        <w:rPr/>
        <w:t>, Ipsum T. Lauren</w:t>
      </w:r>
      <w:r>
        <w:rPr>
          <w:vertAlign w:val="superscript"/>
        </w:rPr>
        <w:t>3</w:t>
      </w:r>
    </w:p>
    <w:p>
      <w:pPr>
        <w:pStyle w:val="SVOszerzk"/>
        <w:rPr/>
      </w:pPr>
      <w:r>
        <w:rPr>
          <w:vertAlign w:val="superscript"/>
        </w:rPr>
        <w:t>1</w:t>
      </w:r>
      <w:r>
        <w:rPr/>
        <w:t>Sugárvédészeti Kutatóintézet, 1221 Budapest, Konkoly-Thege M. rkp. 3.</w:t>
      </w:r>
    </w:p>
    <w:p>
      <w:pPr>
        <w:pStyle w:val="SVOszerzk"/>
        <w:rPr/>
      </w:pPr>
      <w:r>
        <w:rPr>
          <w:vertAlign w:val="superscript"/>
        </w:rPr>
        <w:t>2</w:t>
      </w:r>
      <w:r>
        <w:rPr/>
        <w:t>Eötvös Lóránt Fizikai Társulat, 1092 Budapest, Ráday u. 18.</w:t>
      </w:r>
    </w:p>
    <w:p>
      <w:pPr>
        <w:pStyle w:val="SVOszerzk"/>
        <w:rPr/>
      </w:pPr>
      <w:r>
        <w:rPr>
          <w:vertAlign w:val="superscript"/>
        </w:rPr>
        <w:t>3</w:t>
      </w:r>
      <w:r>
        <w:rPr/>
        <w:t>Agency of Redundancy Agency, 1400 Bécs, Wagramer str. 15.</w:t>
      </w:r>
    </w:p>
    <w:p>
      <w:pPr>
        <w:pStyle w:val="SVOszerzk"/>
        <w:rPr/>
      </w:pPr>
      <w:r>
        <w:rPr/>
        <w:t>*</w:t>
      </w:r>
      <w:bookmarkStart w:id="0" w:name="_GoBack"/>
      <w:bookmarkEnd w:id="0"/>
      <w:r>
        <w:rPr/>
        <w:t>sodomai.edomer@ski.hu</w:t>
      </w:r>
    </w:p>
    <w:p>
      <w:pPr>
        <w:pStyle w:val="SVOkivonatkulcsszavak"/>
        <w:rPr/>
      </w:pPr>
      <w:r>
        <w:rPr/>
        <w:t>Kivonat magyarul.</w:t>
      </w:r>
    </w:p>
    <w:p>
      <w:pPr>
        <w:pStyle w:val="SVOkivonatkulcsszavak"/>
        <w:rPr/>
      </w:pPr>
      <w:r>
        <w:rPr/>
        <w:t>Kulcsszavak: kulcsszó, mindig, kell</w:t>
      </w:r>
    </w:p>
    <w:p>
      <w:pPr>
        <w:pStyle w:val="SVOkzlemnycmeangolul"/>
        <w:rPr/>
      </w:pPr>
      <w:r>
        <w:rPr/>
        <w:t>Title of the article</w:t>
      </w:r>
    </w:p>
    <w:p>
      <w:pPr>
        <w:pStyle w:val="SVOkivonatkulcsszavak"/>
        <w:rPr>
          <w:lang w:val="en-GB"/>
        </w:rPr>
      </w:pPr>
      <w:r>
        <w:rPr>
          <w:lang w:val="en-GB"/>
        </w:rPr>
        <w:t>Abstract in English.</w:t>
      </w:r>
    </w:p>
    <w:p>
      <w:pPr>
        <w:pStyle w:val="SVOkivonatkulcsszavak"/>
        <w:rPr/>
      </w:pPr>
      <w:r>
        <w:rPr/>
        <w:t>Keywords: keywords, always, necessary</w:t>
      </w:r>
    </w:p>
    <w:p>
      <w:pPr>
        <w:pStyle w:val="SVOSzakaszcm"/>
        <w:rPr/>
      </w:pPr>
      <w:r>
        <w:rPr/>
        <w:t>BEVEZETÉS</w:t>
      </w:r>
    </w:p>
    <w:p>
      <w:pPr>
        <w:pStyle w:val="SVOnorml"/>
        <w:rPr/>
      </w:pPr>
      <w:r>
        <w:rPr/>
        <w:t>Bevezetés törzsszövege.</w:t>
      </w:r>
    </w:p>
    <w:p>
      <w:pPr>
        <w:pStyle w:val="SVOSzakaszcm"/>
        <w:rPr/>
      </w:pPr>
      <w:r>
        <w:rPr/>
        <w:t>Eszközök és módszerek</w:t>
      </w:r>
    </w:p>
    <w:p>
      <w:pPr>
        <w:pStyle w:val="SVOnorml"/>
        <w:rPr/>
      </w:pPr>
      <w:r>
        <w:rPr/>
        <w:t>Eszközök és módszerek bevezetője.</w:t>
      </w:r>
    </w:p>
    <w:p>
      <w:pPr>
        <w:pStyle w:val="SVOtblzatcme"/>
        <w:numPr>
          <w:ilvl w:val="0"/>
          <w:numId w:val="3"/>
        </w:numPr>
        <w:rPr/>
      </w:pPr>
      <w:r>
        <w:rPr/>
        <w:t>táblázat. Mintatáblázat</w:t>
      </w:r>
    </w:p>
    <w:tbl>
      <w:tblPr>
        <w:tblStyle w:val="Rcsostblza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869"/>
        <w:gridCol w:w="1240"/>
        <w:gridCol w:w="1377"/>
        <w:gridCol w:w="1344"/>
        <w:gridCol w:w="1012"/>
        <w:gridCol w:w="1239"/>
        <w:gridCol w:w="1944"/>
      </w:tblGrid>
      <w:tr>
        <w:trPr/>
        <w:tc>
          <w:tcPr>
            <w:tcW w:w="3486" w:type="dxa"/>
            <w:gridSpan w:val="3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Az épület méretei (m)</w:t>
            </w:r>
          </w:p>
        </w:tc>
        <w:tc>
          <w:tcPr>
            <w:tcW w:w="1344" w:type="dxa"/>
            <w:vMerge w:val="restart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Ár (M Ft)</w:t>
            </w:r>
          </w:p>
        </w:tc>
        <w:tc>
          <w:tcPr>
            <w:tcW w:w="2251" w:type="dxa"/>
            <w:gridSpan w:val="2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Szállítási határidő (hónap)</w:t>
            </w:r>
          </w:p>
        </w:tc>
        <w:tc>
          <w:tcPr>
            <w:tcW w:w="1944" w:type="dxa"/>
            <w:vMerge w:val="restart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Megjegyzés</w:t>
            </w:r>
          </w:p>
        </w:tc>
      </w:tr>
      <w:tr>
        <w:trPr/>
        <w:tc>
          <w:tcPr>
            <w:tcW w:w="869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hossza</w:t>
            </w:r>
          </w:p>
        </w:tc>
        <w:tc>
          <w:tcPr>
            <w:tcW w:w="1240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szélessége</w:t>
            </w:r>
          </w:p>
        </w:tc>
        <w:tc>
          <w:tcPr>
            <w:tcW w:w="1377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magassága*</w:t>
            </w:r>
          </w:p>
        </w:tc>
        <w:tc>
          <w:tcPr>
            <w:tcW w:w="1344" w:type="dxa"/>
            <w:vMerge w:val="continue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</w:r>
          </w:p>
        </w:tc>
        <w:tc>
          <w:tcPr>
            <w:tcW w:w="1012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télen</w:t>
            </w:r>
          </w:p>
        </w:tc>
        <w:tc>
          <w:tcPr>
            <w:tcW w:w="1239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nyáron</w:t>
            </w:r>
          </w:p>
        </w:tc>
        <w:tc>
          <w:tcPr>
            <w:tcW w:w="1944" w:type="dxa"/>
            <w:vMerge w:val="continue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</w:r>
          </w:p>
        </w:tc>
      </w:tr>
      <w:tr>
        <w:trPr/>
        <w:tc>
          <w:tcPr>
            <w:tcW w:w="869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12</w:t>
            </w:r>
          </w:p>
        </w:tc>
        <w:tc>
          <w:tcPr>
            <w:tcW w:w="1240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</w:p>
        </w:tc>
        <w:tc>
          <w:tcPr>
            <w:tcW w:w="1377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2,3–2,8</w:t>
            </w:r>
          </w:p>
        </w:tc>
        <w:tc>
          <w:tcPr>
            <w:tcW w:w="1344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6,1–7,0</w:t>
            </w:r>
          </w:p>
        </w:tc>
        <w:tc>
          <w:tcPr>
            <w:tcW w:w="1012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4</w:t>
            </w:r>
          </w:p>
        </w:tc>
        <w:tc>
          <w:tcPr>
            <w:tcW w:w="1239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3</w:t>
            </w:r>
          </w:p>
        </w:tc>
        <w:tc>
          <w:tcPr>
            <w:tcW w:w="1944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Csak az alaptípus</w:t>
            </w:r>
          </w:p>
        </w:tc>
      </w:tr>
      <w:tr>
        <w:trPr/>
        <w:tc>
          <w:tcPr>
            <w:tcW w:w="869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18</w:t>
            </w:r>
          </w:p>
        </w:tc>
        <w:tc>
          <w:tcPr>
            <w:tcW w:w="1240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6</w:t>
            </w:r>
          </w:p>
        </w:tc>
        <w:tc>
          <w:tcPr>
            <w:tcW w:w="1377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2,5–3,0**</w:t>
            </w:r>
          </w:p>
        </w:tc>
        <w:tc>
          <w:tcPr>
            <w:tcW w:w="1344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11,0–12,3</w:t>
            </w:r>
          </w:p>
        </w:tc>
        <w:tc>
          <w:tcPr>
            <w:tcW w:w="1012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-</w:t>
            </w:r>
          </w:p>
        </w:tc>
        <w:tc>
          <w:tcPr>
            <w:tcW w:w="1239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n. a.</w:t>
            </w:r>
          </w:p>
        </w:tc>
        <w:tc>
          <w:tcPr>
            <w:tcW w:w="1944" w:type="dxa"/>
            <w:tcBorders/>
            <w:vAlign w:val="center"/>
          </w:tcPr>
          <w:p>
            <w:pPr>
              <w:pStyle w:val="SVOtblzattartalma"/>
              <w:spacing w:before="60" w:after="60"/>
              <w:contextualSpacing/>
              <w:rPr>
                <w:rFonts w:ascii="Times New Roman" w:hAnsi="Times New Roman" w:eastAsia="Times New Roman" w:cs="Times New Roman"/>
              </w:rPr>
            </w:pPr>
            <w:r>
              <w:rPr>
                <w:rFonts w:eastAsia="Times New Roman" w:cs="Times New Roman"/>
              </w:rPr>
              <w:t>Megállapodással</w:t>
            </w:r>
          </w:p>
        </w:tc>
      </w:tr>
    </w:tbl>
    <w:p>
      <w:pPr>
        <w:pStyle w:val="SVOtblzatmegjegyzsei"/>
        <w:rPr/>
      </w:pPr>
      <w:r>
        <w:rPr/>
        <w:t>* minimum–maximum értékek</w:t>
      </w:r>
    </w:p>
    <w:p>
      <w:pPr>
        <w:pStyle w:val="SVOtblzatmegjegyzsei"/>
        <w:rPr/>
      </w:pPr>
      <w:r>
        <w:rPr/>
        <w:t>** becslés eredményei</w:t>
      </w:r>
    </w:p>
    <w:p>
      <w:pPr>
        <w:pStyle w:val="SVOAlszakaszcm"/>
        <w:rPr/>
      </w:pPr>
      <w:r>
        <w:rPr/>
        <w:t>Első módszer</w:t>
      </w:r>
    </w:p>
    <w:p>
      <w:pPr>
        <w:pStyle w:val="SVOnorml"/>
        <w:rPr/>
      </w:pPr>
      <w:r>
        <w:rPr/>
        <w:t>Törzsszöveg.</w:t>
      </w:r>
    </w:p>
    <w:p>
      <w:pPr>
        <w:pStyle w:val="SVOnorml"/>
        <w:rPr/>
      </w:pPr>
      <w:r>
        <w:rPr/>
        <w:t xml:space="preserve">Példa </w:t>
      </w:r>
      <w:r>
        <w:rPr/>
        <w:fldChar w:fldCharType="begin"/>
      </w:r>
      <w:r>
        <w:rPr/>
        <w:instrText> REF egyenlet_1 \h </w:instrText>
      </w:r>
      <w:r>
        <w:rPr/>
        <w:fldChar w:fldCharType="separate"/>
      </w:r>
      <w:r>
        <w:rPr/>
      </w:r>
      <w:r>
        <w:rPr/>
        <w:fldChar w:fldCharType="end"/>
      </w:r>
      <w:r>
        <w:rPr/>
        <w:fldChar w:fldCharType="begin"/>
      </w:r>
      <w:r>
        <w:rPr/>
        <w:instrText> REF egyenlet_1 \r \h </w:instrText>
      </w:r>
      <w:r>
        <w:rPr/>
        <w:fldChar w:fldCharType="separate"/>
      </w:r>
      <w:r>
        <w:rPr/>
        <w:t>(1)</w:t>
      </w:r>
      <w:r>
        <w:rPr/>
        <w:fldChar w:fldCharType="end"/>
      </w:r>
      <w:r>
        <w:rPr/>
        <w:t xml:space="preserve"> egyenlet.</w:t>
      </w:r>
    </w:p>
    <w:tbl>
      <w:tblPr>
        <w:tblStyle w:val="Rcsostblzat"/>
        <w:tblW w:w="90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937"/>
        <w:gridCol w:w="1133"/>
      </w:tblGrid>
      <w:tr>
        <w:trPr>
          <w:trHeight w:val="283" w:hRule="atLeast"/>
        </w:trPr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VOegyenlet"/>
              <w:spacing w:before="60" w:after="60"/>
              <w:contextualSpacing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eastAsia="Times New Roman" w:cs="Times New Roman" w:ascii="Times New Roman" w:hAnsi="Times New Roman"/>
                <w:szCs w:val="20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A</m:t>
              </m:r>
              <m:r>
                <w:rPr>
                  <w:rFonts w:ascii="Cambria Math" w:hAnsi="Cambria Math"/>
                </w:rPr>
                <m:t xml:space="preserve">=</m:t>
              </m:r>
              <m:r>
                <w:rPr>
                  <w:rFonts w:ascii="Cambria Math" w:hAnsi="Cambria Math"/>
                </w:rPr>
                <m:t xml:space="preserve">π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r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2</m:t>
                  </m:r>
                </m:sup>
              </m:sSup>
            </m:oMath>
            <w:r>
              <w:rPr>
                <w:rFonts w:eastAsia="Times New Roman" w:cs="Times New Roman" w:ascii="Times New Roman" w:hAnsi="Times New Roman"/>
                <w:szCs w:val="20"/>
              </w:rPr>
              <w:t>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VOegyenletsorszma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eastAsia="Times New Roman" w:cs="Times New Roman"/>
                <w:sz w:val="20"/>
                <w:szCs w:val="20"/>
                <w:lang w:eastAsia="hu-HU"/>
              </w:rPr>
            </w:pPr>
            <w:r>
              <w:rPr>
                <w:rFonts w:eastAsia="Times New Roman" w:cs="Times New Roman"/>
                <w:sz w:val="20"/>
                <w:szCs w:val="20"/>
                <w:lang w:eastAsia="hu-HU"/>
              </w:rPr>
            </w:r>
            <w:bookmarkStart w:id="1" w:name="_Ref96265653"/>
            <w:bookmarkStart w:id="2" w:name="egyenlet_1"/>
            <w:bookmarkStart w:id="3" w:name="_Ref96265653"/>
            <w:bookmarkStart w:id="4" w:name="egyenlet_1"/>
            <w:bookmarkEnd w:id="3"/>
            <w:bookmarkEnd w:id="4"/>
          </w:p>
        </w:tc>
      </w:tr>
    </w:tbl>
    <w:p>
      <w:pPr>
        <w:pStyle w:val="SVOnorml"/>
        <w:rPr/>
      </w:pPr>
      <w:r>
        <w:rPr/>
        <w:t>ahol:</w:t>
      </w:r>
    </w:p>
    <w:p>
      <w:pPr>
        <w:pStyle w:val="SVOnorml"/>
        <w:rPr/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A</m:t>
        </m:r>
      </m:oMath>
      <w:r>
        <w:rPr/>
        <w:tab/>
        <w:t>a kör felülete,</w:t>
      </w:r>
    </w:p>
    <w:p>
      <w:pPr>
        <w:pStyle w:val="SVOnorml"/>
        <w:rPr/>
      </w:pP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r</m:t>
            </m:r>
          </m:e>
          <m:sup/>
        </m:sSup>
      </m:oMath>
      <w:r>
        <w:rPr/>
        <w:tab/>
        <w:t>a kör sugara.</w:t>
      </w:r>
    </w:p>
    <w:p>
      <w:pPr>
        <w:pStyle w:val="SVOAlszakaszcm"/>
        <w:rPr/>
      </w:pPr>
      <w:r>
        <w:rPr/>
        <w:t>Második módszer</w:t>
      </w:r>
    </w:p>
    <w:p>
      <w:pPr>
        <w:pStyle w:val="SVOnorml"/>
        <w:rPr/>
      </w:pPr>
      <w:r>
        <w:rPr/>
        <w:t>Törzsszöveg.</w:t>
      </w:r>
    </w:p>
    <w:p>
      <w:pPr>
        <w:pStyle w:val="SVOnorml"/>
        <w:rPr/>
      </w:pPr>
      <w:r>
        <w:rPr/>
        <w:t xml:space="preserve">Másik </w:t>
      </w:r>
      <w:r>
        <w:rPr/>
        <w:fldChar w:fldCharType="begin"/>
      </w:r>
      <w:r>
        <w:rPr/>
        <w:instrText> REF egyenlet_2 \r \h </w:instrText>
      </w:r>
      <w:r>
        <w:rPr/>
        <w:fldChar w:fldCharType="separate"/>
      </w:r>
      <w:r>
        <w:rPr/>
        <w:t>(2)</w:t>
      </w:r>
      <w:r>
        <w:rPr/>
        <w:fldChar w:fldCharType="end"/>
      </w:r>
      <w:r>
        <w:rPr/>
        <w:t xml:space="preserve"> egyenlet:</w:t>
      </w:r>
    </w:p>
    <w:tbl>
      <w:tblPr>
        <w:tblStyle w:val="Rcsostblzat"/>
        <w:tblW w:w="907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937"/>
        <w:gridCol w:w="1133"/>
      </w:tblGrid>
      <w:tr>
        <w:trPr>
          <w:trHeight w:val="567" w:hRule="atLeast"/>
        </w:trPr>
        <w:tc>
          <w:tcPr>
            <w:tcW w:w="793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VOegyenlet"/>
              <w:spacing w:before="60" w:after="60"/>
              <w:contextualSpacing/>
              <w:rPr>
                <w:rFonts w:ascii="Times New Roman" w:hAnsi="Times New Roman" w:eastAsia="Times New Roman" w:cs="Times New Roman"/>
                <w:szCs w:val="20"/>
              </w:rPr>
            </w:pPr>
            <w:r>
              <w:rPr>
                <w:rFonts w:eastAsia="Times New Roman" w:cs="Times New Roman" w:ascii="Times New Roman" w:hAnsi="Times New Roman"/>
                <w:szCs w:val="20"/>
              </w:rPr>
            </w:r>
            <m:oMath xmlns:m="http://schemas.openxmlformats.org/officeDocument/2006/math">
              <m:r>
                <w:rPr>
                  <w:rFonts w:ascii="Cambria Math" w:hAnsi="Cambria Math"/>
                </w:rPr>
                <m:t xml:space="preserve">V</m:t>
              </m:r>
              <m:r>
                <w:rPr>
                  <w:rFonts w:ascii="Cambria Math" w:hAnsi="Cambria Math"/>
                </w:rPr>
                <m:t xml:space="preserve">=</m:t>
              </m:r>
              <m:f>
                <m:num>
                  <m:r>
                    <w:rPr>
                      <w:rFonts w:ascii="Cambria Math" w:hAnsi="Cambria Math"/>
                    </w:rPr>
                    <m:t xml:space="preserve">4</m:t>
                  </m:r>
                </m:num>
                <m:den>
                  <m:r>
                    <w:rPr>
                      <w:rFonts w:ascii="Cambria Math" w:hAnsi="Cambria Math"/>
                    </w:rPr>
                    <m:t xml:space="preserve">3</m:t>
                  </m:r>
                </m:den>
              </m:f>
              <m:r>
                <w:rPr>
                  <w:rFonts w:ascii="Cambria Math" w:hAnsi="Cambria Math"/>
                </w:rPr>
                <m:t xml:space="preserve">π</m:t>
              </m:r>
              <m:sSup>
                <m:e>
                  <m:r>
                    <w:rPr>
                      <w:rFonts w:ascii="Cambria Math" w:hAnsi="Cambria Math"/>
                    </w:rPr>
                    <m:t xml:space="preserve">r</m:t>
                  </m:r>
                </m:e>
                <m:sup>
                  <m:r>
                    <w:rPr>
                      <w:rFonts w:ascii="Cambria Math" w:hAnsi="Cambria Math"/>
                    </w:rPr>
                    <m:t xml:space="preserve">3</m:t>
                  </m:r>
                </m:sup>
              </m:sSup>
            </m:oMath>
            <w:r>
              <w:rPr>
                <w:rFonts w:eastAsia="Times New Roman" w:cs="Times New Roman" w:ascii="Times New Roman" w:hAnsi="Times New Roman"/>
                <w:szCs w:val="20"/>
              </w:rPr>
              <w:t>.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pStyle w:val="SVOegyenletsorszma"/>
              <w:numPr>
                <w:ilvl w:val="0"/>
                <w:numId w:val="1"/>
              </w:numPr>
              <w:spacing w:before="60" w:after="60"/>
              <w:rPr>
                <w:rFonts w:ascii="Times New Roman" w:hAnsi="Times New Roman" w:eastAsia="Times New Roman" w:cs="Times New Roman"/>
                <w:sz w:val="20"/>
                <w:szCs w:val="20"/>
                <w:lang w:eastAsia="hu-HU"/>
              </w:rPr>
            </w:pPr>
            <w:r>
              <w:rPr>
                <w:rFonts w:eastAsia="Times New Roman" w:cs="Times New Roman"/>
                <w:sz w:val="20"/>
                <w:szCs w:val="20"/>
                <w:lang w:eastAsia="hu-HU"/>
              </w:rPr>
            </w:r>
            <w:bookmarkStart w:id="5" w:name="_Ref96267070"/>
            <w:bookmarkStart w:id="6" w:name="egyenlet_2"/>
            <w:bookmarkStart w:id="7" w:name="_Ref96267070"/>
            <w:bookmarkStart w:id="8" w:name="egyenlet_2"/>
            <w:bookmarkEnd w:id="7"/>
            <w:bookmarkEnd w:id="8"/>
          </w:p>
        </w:tc>
      </w:tr>
    </w:tbl>
    <w:p>
      <w:pPr>
        <w:pStyle w:val="SVOnorml"/>
        <w:rPr/>
      </w:pPr>
      <w:r>
        <w:rPr/>
        <w:t>ahol:</w:t>
      </w:r>
    </w:p>
    <w:p>
      <w:pPr>
        <w:pStyle w:val="SVOnorml"/>
        <w:rPr/>
      </w:pPr>
      <w:r>
        <w:rPr/>
      </w:r>
      <m:oMath xmlns:m="http://schemas.openxmlformats.org/officeDocument/2006/math">
        <m:r>
          <w:rPr>
            <w:rFonts w:ascii="Cambria Math" w:hAnsi="Cambria Math"/>
          </w:rPr>
          <m:t xml:space="preserve">V</m:t>
        </m:r>
      </m:oMath>
      <w:r>
        <w:rPr/>
        <w:tab/>
        <w:t>a gömb térfogata,</w:t>
      </w:r>
    </w:p>
    <w:p>
      <w:pPr>
        <w:pStyle w:val="SVOnorml"/>
        <w:rPr>
          <w:bCs/>
        </w:rPr>
      </w:pPr>
      <w:r>
        <w:rPr/>
      </w:r>
      <m:oMath xmlns:m="http://schemas.openxmlformats.org/officeDocument/2006/math">
        <m:sSup>
          <m:e>
            <m:r>
              <w:rPr>
                <w:rFonts w:ascii="Cambria Math" w:hAnsi="Cambria Math"/>
              </w:rPr>
              <m:t xml:space="preserve">r</m:t>
            </m:r>
          </m:e>
          <m:sup/>
        </m:sSup>
      </m:oMath>
      <w:r>
        <w:rPr/>
        <w:tab/>
        <w:t>a gömb sugara.</w:t>
      </w:r>
    </w:p>
    <w:p>
      <w:pPr>
        <w:pStyle w:val="SVOnorml"/>
        <w:rPr/>
      </w:pPr>
      <w:r>
        <w:rPr/>
        <w:t>Törzsszöveg.</w:t>
      </w:r>
    </w:p>
    <w:p>
      <w:pPr>
        <w:pStyle w:val="SVOSzakaszcm"/>
        <w:rPr>
          <w:b w:val="false"/>
          <w:b w:val="false"/>
          <w:caps w:val="false"/>
          <w:smallCaps w:val="false"/>
        </w:rPr>
      </w:pPr>
      <w:r>
        <w:rPr>
          <w:b w:val="false"/>
          <w:caps w:val="false"/>
          <w:smallCaps w:val="false"/>
        </w:rPr>
        <w:t>Azonos szintű szövegek felsorolása:</w:t>
      </w:r>
    </w:p>
    <w:p>
      <w:pPr>
        <w:pStyle w:val="SVOfelsorolsegyszint"/>
        <w:numPr>
          <w:ilvl w:val="0"/>
          <w:numId w:val="5"/>
        </w:numPr>
        <w:ind w:left="851" w:hanging="567"/>
        <w:rPr/>
      </w:pPr>
      <w:r>
        <w:rPr/>
        <w:t>Első tétel,</w:t>
      </w:r>
    </w:p>
    <w:p>
      <w:pPr>
        <w:pStyle w:val="SVOfelsorolsegyszint"/>
        <w:numPr>
          <w:ilvl w:val="0"/>
          <w:numId w:val="5"/>
        </w:numPr>
        <w:ind w:left="851" w:hanging="567"/>
        <w:rPr/>
      </w:pPr>
      <w:r>
        <w:rPr/>
        <w:t>Második tétel,</w:t>
      </w:r>
    </w:p>
    <w:p>
      <w:pPr>
        <w:pStyle w:val="SVOnorml"/>
        <w:ind w:hanging="0"/>
        <w:rPr/>
      </w:pPr>
      <w:r>
        <w:rPr/>
        <w:t>Különböző szintű szövegek felsorolása:</w:t>
      </w:r>
    </w:p>
    <w:p>
      <w:pPr>
        <w:pStyle w:val="SVOfelsorolstbbszint"/>
        <w:numPr>
          <w:ilvl w:val="0"/>
          <w:numId w:val="6"/>
        </w:numPr>
        <w:rPr/>
      </w:pPr>
      <w:r>
        <w:rPr/>
        <w:t>Első szint.</w:t>
      </w:r>
    </w:p>
    <w:p>
      <w:pPr>
        <w:pStyle w:val="SVOfelsorolstbbszint"/>
        <w:numPr>
          <w:ilvl w:val="0"/>
          <w:numId w:val="6"/>
        </w:numPr>
        <w:rPr/>
      </w:pPr>
      <w:r>
        <w:rPr/>
        <w:t>Szintén az első szint.</w:t>
      </w:r>
    </w:p>
    <w:p>
      <w:pPr>
        <w:pStyle w:val="SVOfelsorolstbbszint"/>
        <w:numPr>
          <w:ilvl w:val="1"/>
          <w:numId w:val="6"/>
        </w:numPr>
        <w:rPr/>
      </w:pPr>
      <w:r>
        <w:rPr/>
        <w:t>Második szint.</w:t>
      </w:r>
    </w:p>
    <w:p>
      <w:pPr>
        <w:pStyle w:val="SVOfelsorolstbbszint"/>
        <w:numPr>
          <w:ilvl w:val="2"/>
          <w:numId w:val="6"/>
        </w:numPr>
        <w:rPr/>
      </w:pPr>
      <w:r>
        <w:rPr/>
        <w:t>Harmadik szint.</w:t>
      </w:r>
    </w:p>
    <w:p>
      <w:pPr>
        <w:pStyle w:val="SVOSzakaszcm"/>
        <w:rPr/>
      </w:pPr>
      <w:r>
        <w:rPr/>
        <w:t>Eredmények</w:t>
      </w:r>
    </w:p>
    <w:p>
      <w:pPr>
        <w:pStyle w:val="SVOAlszakaszcm"/>
        <w:rPr/>
      </w:pPr>
      <w:r>
        <w:rPr/>
        <w:t>Eredmények az első módszerrel</w:t>
      </w:r>
    </w:p>
    <w:p>
      <w:pPr>
        <w:pStyle w:val="SVOnorml"/>
        <w:rPr/>
      </w:pPr>
      <w:r>
        <w:rPr/>
        <w:t>Hivatkozás az ábrára (</w:t>
      </w:r>
      <w:r>
        <w:rPr/>
        <w:fldChar w:fldCharType="begin"/>
      </w:r>
      <w:r>
        <w:rPr/>
        <w:instrText> REF _Ref96265626 \r \h </w:instrText>
      </w:r>
      <w:r>
        <w:rPr/>
        <w:fldChar w:fldCharType="separate"/>
      </w:r>
      <w:r>
        <w:rPr/>
        <w:t>1.</w:t>
      </w:r>
      <w:r>
        <w:rPr/>
        <w:fldChar w:fldCharType="end"/>
      </w:r>
      <w:r>
        <w:rPr/>
        <w:t>. ábra).</w:t>
      </w:r>
    </w:p>
    <w:p>
      <w:pPr>
        <w:pStyle w:val="SVObra"/>
        <w:rPr/>
      </w:pPr>
      <w:r>
        <w:rPr/>
        <w:drawing>
          <wp:inline distT="0" distB="0" distL="0" distR="0">
            <wp:extent cx="5760085" cy="3056255"/>
            <wp:effectExtent l="0" t="0" r="0" b="0"/>
            <wp:docPr id="1" name="Kép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5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VObrafelirat"/>
        <w:numPr>
          <w:ilvl w:val="0"/>
          <w:numId w:val="2"/>
        </w:numPr>
        <w:rPr/>
      </w:pPr>
      <w:bookmarkStart w:id="9" w:name="_Ref96265626"/>
      <w:r>
        <w:rPr/>
        <w:t>ábra. A Sugárvédelmi Szakosztály honlapjának nyitóoldala</w:t>
      </w:r>
      <w:bookmarkEnd w:id="9"/>
    </w:p>
    <w:p>
      <w:pPr>
        <w:pStyle w:val="SVOAlszakaszcm"/>
        <w:rPr/>
      </w:pPr>
      <w:r>
        <w:rPr/>
        <w:t>Eredmények a második módszerrel</w:t>
      </w:r>
    </w:p>
    <w:p>
      <w:pPr>
        <w:pStyle w:val="SVOnorml"/>
        <w:rPr/>
      </w:pPr>
      <w:r>
        <w:rPr/>
        <w:t xml:space="preserve">Hivatkozás a második ábrára (ld. </w:t>
      </w:r>
      <w:r>
        <w:rPr/>
        <w:fldChar w:fldCharType="begin"/>
      </w:r>
      <w:r>
        <w:rPr/>
        <w:instrText> REF _Ref96265609 \r \h </w:instrText>
      </w:r>
      <w:r>
        <w:rPr/>
        <w:fldChar w:fldCharType="separate"/>
      </w:r>
      <w:r>
        <w:rPr/>
        <w:t>2.</w:t>
      </w:r>
      <w:r>
        <w:rPr/>
        <w:fldChar w:fldCharType="end"/>
      </w:r>
      <w:r>
        <w:rPr/>
        <w:t>. ábra).</w:t>
      </w:r>
    </w:p>
    <w:p>
      <w:pPr>
        <w:pStyle w:val="SVObra"/>
        <w:rPr/>
      </w:pPr>
      <w:r>
        <w:rPr/>
        <w:drawing>
          <wp:inline distT="0" distB="0" distL="0" distR="0">
            <wp:extent cx="2879725" cy="1529715"/>
            <wp:effectExtent l="0" t="0" r="0" b="0"/>
            <wp:docPr id="2" name="Kép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VObrafelirat"/>
        <w:numPr>
          <w:ilvl w:val="0"/>
          <w:numId w:val="2"/>
        </w:numPr>
        <w:rPr/>
      </w:pPr>
      <w:bookmarkStart w:id="10" w:name="_Ref96265609"/>
      <w:r>
        <w:rPr/>
        <w:t>ábra. A Sugárvédelmi Szakosztály honlapjának nyitóoldala</w:t>
      </w:r>
      <w:bookmarkEnd w:id="10"/>
      <w:r>
        <w:rPr/>
        <w:t>, kisebb ábrán</w:t>
      </w:r>
    </w:p>
    <w:p>
      <w:pPr>
        <w:pStyle w:val="SVOSzakaszcm"/>
        <w:rPr/>
      </w:pPr>
      <w:r>
        <w:rPr/>
        <w:t>Megbeszélés</w:t>
      </w:r>
    </w:p>
    <w:p>
      <w:pPr>
        <w:pStyle w:val="SVOnorml"/>
        <w:rPr/>
      </w:pPr>
      <w:r>
        <w:rPr/>
        <w:t>Törzsszöveg.</w:t>
      </w:r>
    </w:p>
    <w:p>
      <w:pPr>
        <w:pStyle w:val="SVOSzakaszcm"/>
        <w:rPr/>
      </w:pPr>
      <w:r>
        <w:rPr/>
        <w:t>Irodalomjegyzék</w:t>
      </w:r>
    </w:p>
    <w:p>
      <w:pPr>
        <w:pStyle w:val="SVOirodalomjegyzk"/>
        <w:numPr>
          <w:ilvl w:val="0"/>
          <w:numId w:val="4"/>
        </w:numPr>
        <w:ind w:left="567" w:hanging="567"/>
        <w:rPr/>
      </w:pPr>
      <w:r>
        <w:rPr/>
        <w:t>Hisakata R, Nishida S, Johnston A. An adaptable metric shapes perceptual space. Curr Biol 2016; 26:1911–5. https://doi.org/10.1016/j.cub.2016.05.047.</w:t>
      </w:r>
    </w:p>
    <w:p>
      <w:pPr>
        <w:pStyle w:val="SVOirodalomjegyzk"/>
        <w:numPr>
          <w:ilvl w:val="0"/>
          <w:numId w:val="4"/>
        </w:numPr>
        <w:ind w:left="567" w:hanging="567"/>
        <w:rPr/>
      </w:pPr>
      <w:r>
        <w:rPr/>
        <w:t>Musk E. The secret Tesla Motors master plan (just between you and me). Tesla Blog 2006. https://www.tesla.com/blog/secret-tesla-motors-master-plan-just-between-you-and-me (hozzáférés: 2016. szeptember 19.).</w:t>
      </w:r>
    </w:p>
    <w:p>
      <w:pPr>
        <w:pStyle w:val="SVOirodalomjegyzk"/>
        <w:numPr>
          <w:ilvl w:val="0"/>
          <w:numId w:val="4"/>
        </w:numPr>
        <w:ind w:left="567" w:hanging="567"/>
        <w:rPr/>
      </w:pPr>
      <w:r>
        <w:rPr/>
        <w:t>Hogue CWV. Structure databases. In: Baxevanis AD, Ouellette BFF, editors. Bioinformatics. 2nd ed., New York, NY: Wiley-Interscience; 2001, p. 83–109.</w:t>
      </w:r>
    </w:p>
    <w:p>
      <w:pPr>
        <w:pStyle w:val="SVOirodalomjegyzk"/>
        <w:numPr>
          <w:ilvl w:val="0"/>
          <w:numId w:val="4"/>
        </w:numPr>
        <w:ind w:left="567" w:hanging="567"/>
        <w:rPr/>
      </w:pPr>
      <w:r>
        <w:rPr/>
        <w:t>Sambrook J, Russell DW. Molecular cloning: a laboratory manual. 3rd ed. Cold Spring Harbor, NY: CSHL Press; 2001.</w:t>
      </w:r>
    </w:p>
    <w:sectPr>
      <w:type w:val="nextPage"/>
      <w:pgSz w:w="11906" w:h="16838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Cambria Math">
    <w:charset w:val="01"/>
    <w:family w:val="roman"/>
    <w:pitch w:val="variable"/>
  </w:font>
  <w:font w:name="Times New Roman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suff w:val="nothing"/>
      <w:lvlText w:val="(%1)"/>
      <w:lvlJc w:val="center"/>
      <w:pPr>
        <w:tabs>
          <w:tab w:val="num" w:pos="0"/>
        </w:tabs>
        <w:ind w:left="0" w:hanging="0"/>
      </w:pPr>
      <w:rPr>
        <w:smallCaps w:val="false"/>
        <w:caps w:val="false"/>
        <w:outline w:val="false"/>
        <w:dstrike w:val="false"/>
        <w:strike w:val="false"/>
        <w:vertAlign w:val="baseline"/>
        <w:position w:val="0"/>
        <w:sz w:val="0"/>
        <w:sz w:val="0"/>
        <w:spacing w:val="0"/>
        <w:i w:val="false"/>
        <w:shadow w:val="false"/>
        <w:u w:val="none" w:color="000000"/>
        <w:b w:val="false"/>
        <w:kern w:val="0"/>
        <w:effect w:val="none"/>
        <w:highlight w:val="black"/>
        <w:szCs w:val="0"/>
        <w:iCs w:val="false"/>
        <w:bCs w:val="false"/>
        <w:em w:val="none"/>
        <w:w w:val="100"/>
        <w:emboss w:val="false"/>
        <w:imprint w:val="false"/>
        <w:vanish w:val="false"/>
        <w:rFonts w:cs="Times New Roman"/>
        <w:color w:val="000000"/>
        <w:lang w:val="x-none" w:eastAsia="x-none" w:bidi="x-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hanging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284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4" w:hanging="180"/>
      </w:pPr>
    </w:lvl>
  </w:abstractNum>
  <w:abstractNum w:abstractNumId="4">
    <w:lvl w:ilvl="0">
      <w:start w:val="1"/>
      <w:numFmt w:val="decimal"/>
      <w:lvlText w:val="[%1]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bullet"/>
      <w:lvlText w:val="⸻"/>
      <w:lvlJc w:val="left"/>
      <w:pPr>
        <w:tabs>
          <w:tab w:val="num" w:pos="0"/>
        </w:tabs>
        <w:ind w:left="100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lowerLetter"/>
      <w:lvlText w:val="%1)"/>
      <w:lvlJc w:val="left"/>
      <w:pPr>
        <w:tabs>
          <w:tab w:val="num" w:pos="0"/>
        </w:tabs>
        <w:ind w:left="567" w:hanging="283"/>
      </w:pPr>
    </w:lvl>
    <w:lvl w:ilvl="1">
      <w:start w:val="1"/>
      <w:numFmt w:val="upperRoman"/>
      <w:lvlText w:val="%2)"/>
      <w:lvlJc w:val="left"/>
      <w:pPr>
        <w:tabs>
          <w:tab w:val="num" w:pos="851"/>
        </w:tabs>
        <w:ind w:left="851" w:hanging="284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1134" w:hanging="283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7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6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 w:asciiTheme="minorHAnsi" w:cstheme="minorHAnsi" w:eastAsiaTheme="minorHAnsi" w:hAnsiTheme="minorHAnsi"/>
        <w:sz w:val="22"/>
        <w:szCs w:val="22"/>
        <w:lang w:val="hu-H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bf4c4c"/>
    <w:pPr>
      <w:widowControl w:val="false"/>
      <w:bidi w:val="0"/>
      <w:spacing w:lineRule="auto" w:line="240" w:before="0" w:after="0"/>
      <w:jc w:val="both"/>
    </w:pPr>
    <w:rPr>
      <w:rFonts w:ascii="Calibri" w:hAnsi="Calibri" w:eastAsia="Calibri" w:cs="Calibri" w:asciiTheme="minorHAnsi" w:cstheme="minorHAnsi" w:eastAsiaTheme="minorHAnsi" w:hAnsiTheme="minorHAnsi"/>
      <w:color w:val="auto"/>
      <w:kern w:val="0"/>
      <w:sz w:val="22"/>
      <w:szCs w:val="22"/>
      <w:lang w:val="hu-H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>
    <w:name w:val="Címsor"/>
    <w:basedOn w:val="Normal"/>
    <w:next w:val="Szvegtrzs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Lohit Devanagari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Trgymutat">
    <w:name w:val="Tárgymutató"/>
    <w:basedOn w:val="Normal"/>
    <w:qFormat/>
    <w:pPr>
      <w:suppressLineNumbers/>
    </w:pPr>
    <w:rPr>
      <w:rFonts w:cs="Lohit Devanagari"/>
    </w:rPr>
  </w:style>
  <w:style w:type="paragraph" w:styleId="SVOnorml" w:customStyle="1">
    <w:name w:val="SVO_normál"/>
    <w:autoRedefine/>
    <w:qFormat/>
    <w:rsid w:val="00bf4c4c"/>
    <w:pPr>
      <w:widowControl/>
      <w:bidi w:val="0"/>
      <w:spacing w:lineRule="auto" w:line="288" w:before="60" w:after="60"/>
      <w:ind w:firstLine="284"/>
      <w:jc w:val="both"/>
    </w:pPr>
    <w:rPr>
      <w:rFonts w:ascii="Times New Roman" w:hAnsi="Times New Roman" w:eastAsia="Calibri" w:cs="Calibri"/>
      <w:color w:val="000000" w:themeColor="text1"/>
      <w:kern w:val="0"/>
      <w:sz w:val="24"/>
      <w:szCs w:val="22"/>
      <w:lang w:val="hu-HU" w:eastAsia="en-US" w:bidi="ar-SA"/>
    </w:rPr>
  </w:style>
  <w:style w:type="paragraph" w:styleId="SVOkzlemnycme" w:customStyle="1">
    <w:name w:val="SVO_közlemény_címe"/>
    <w:basedOn w:val="SVOnorml"/>
    <w:next w:val="SVOszerzk"/>
    <w:qFormat/>
    <w:rsid w:val="00111543"/>
    <w:pPr>
      <w:ind w:left="284" w:right="284" w:hanging="0"/>
      <w:mirrorIndents/>
      <w:jc w:val="center"/>
      <w:outlineLvl w:val="0"/>
    </w:pPr>
    <w:rPr>
      <w:b/>
      <w:caps/>
      <w:spacing w:val="10"/>
      <w:sz w:val="28"/>
    </w:rPr>
  </w:style>
  <w:style w:type="paragraph" w:styleId="SVOszerzk" w:customStyle="1">
    <w:name w:val="SVO_szerzők"/>
    <w:basedOn w:val="SVOnorml"/>
    <w:qFormat/>
    <w:rsid w:val="00111543"/>
    <w:pPr>
      <w:ind w:left="284" w:right="284" w:hanging="0"/>
      <w:jc w:val="center"/>
    </w:pPr>
    <w:rPr/>
  </w:style>
  <w:style w:type="paragraph" w:styleId="SVOkivonatkulcsszavak" w:customStyle="1">
    <w:name w:val="SVO_kivonat_kulcsszavak"/>
    <w:basedOn w:val="SVOnorml"/>
    <w:next w:val="SVOnorml"/>
    <w:autoRedefine/>
    <w:qFormat/>
    <w:rsid w:val="00111543"/>
    <w:pPr>
      <w:ind w:left="284" w:right="284" w:hanging="0"/>
      <w:mirrorIndents/>
    </w:pPr>
    <w:rPr>
      <w:i/>
    </w:rPr>
  </w:style>
  <w:style w:type="paragraph" w:styleId="SVOSzakaszcm" w:customStyle="1">
    <w:name w:val="SVO_Szakaszcím"/>
    <w:basedOn w:val="SVOkzlemnycme"/>
    <w:next w:val="SVOnorml"/>
    <w:autoRedefine/>
    <w:qFormat/>
    <w:rsid w:val="008a47e7"/>
    <w:pPr>
      <w:ind w:left="0" w:right="0" w:hanging="0"/>
      <w:mirrorIndents/>
      <w:jc w:val="left"/>
      <w:outlineLvl w:val="1"/>
    </w:pPr>
    <w:rPr>
      <w:spacing w:val="0"/>
      <w:sz w:val="24"/>
    </w:rPr>
  </w:style>
  <w:style w:type="paragraph" w:styleId="ListParagraph">
    <w:name w:val="List Paragraph"/>
    <w:basedOn w:val="Normal"/>
    <w:uiPriority w:val="34"/>
    <w:qFormat/>
    <w:rsid w:val="00917ea7"/>
    <w:pPr>
      <w:spacing w:before="0" w:after="0"/>
      <w:contextualSpacing/>
      <w:jc w:val="center"/>
    </w:pPr>
    <w:rPr/>
  </w:style>
  <w:style w:type="paragraph" w:styleId="SVOAlszakaszcm" w:customStyle="1">
    <w:name w:val="SVO_Alszakaszcím"/>
    <w:basedOn w:val="SVOSzakaszcm"/>
    <w:next w:val="SVOnorml"/>
    <w:qFormat/>
    <w:rsid w:val="00917ea7"/>
    <w:pPr>
      <w:outlineLvl w:val="2"/>
    </w:pPr>
    <w:rPr>
      <w:i/>
      <w:caps w:val="false"/>
      <w:smallCaps w:val="false"/>
    </w:rPr>
  </w:style>
  <w:style w:type="paragraph" w:styleId="SVObrafelirat" w:customStyle="1">
    <w:name w:val="SVO_ábrafelirat"/>
    <w:basedOn w:val="SVOnorml"/>
    <w:qFormat/>
    <w:rsid w:val="00864cec"/>
    <w:pPr>
      <w:spacing w:before="120" w:after="120"/>
      <w:jc w:val="center"/>
    </w:pPr>
    <w:rPr>
      <w:szCs w:val="20"/>
    </w:rPr>
  </w:style>
  <w:style w:type="paragraph" w:styleId="SVOkzlemnycmeangolul" w:customStyle="1">
    <w:name w:val="SVO_közlemény_címe_angolul"/>
    <w:basedOn w:val="SVOkivonatkulcsszavak"/>
    <w:next w:val="SVOkivonatkulcsszavak"/>
    <w:qFormat/>
    <w:rsid w:val="00917ea7"/>
    <w:pPr>
      <w:ind w:left="0" w:right="284" w:hanging="0"/>
    </w:pPr>
    <w:rPr>
      <w:b/>
      <w:lang w:val="en-GB"/>
    </w:rPr>
  </w:style>
  <w:style w:type="paragraph" w:styleId="SVOegyenletsorszma" w:customStyle="1">
    <w:name w:val="SVO_egyenlet_sorszáma"/>
    <w:basedOn w:val="SVOnorml"/>
    <w:autoRedefine/>
    <w:qFormat/>
    <w:rsid w:val="001a026a"/>
    <w:pPr>
      <w:jc w:val="center"/>
      <w:outlineLvl w:val="4"/>
    </w:pPr>
    <w:rPr>
      <w:rFonts w:eastAsia="Times New Roman"/>
      <w:szCs w:val="20"/>
      <w:lang w:eastAsia="hu-HU"/>
    </w:rPr>
  </w:style>
  <w:style w:type="paragraph" w:styleId="SVObra" w:customStyle="1">
    <w:name w:val="SVO_ábra"/>
    <w:basedOn w:val="SVOnorml"/>
    <w:qFormat/>
    <w:rsid w:val="00bb221d"/>
    <w:pPr>
      <w:keepNext w:val="true"/>
      <w:suppressAutoHyphens w:val="true"/>
      <w:ind w:hanging="0"/>
      <w:jc w:val="center"/>
    </w:pPr>
    <w:rPr/>
  </w:style>
  <w:style w:type="paragraph" w:styleId="SVOtblzatcme" w:customStyle="1">
    <w:name w:val="SVO_táblázat_címe"/>
    <w:basedOn w:val="SVOnorml"/>
    <w:autoRedefine/>
    <w:qFormat/>
    <w:rsid w:val="00bf4c4c"/>
    <w:pPr>
      <w:keepNext w:val="true"/>
      <w:jc w:val="left"/>
    </w:pPr>
    <w:rPr>
      <w:szCs w:val="20"/>
    </w:rPr>
  </w:style>
  <w:style w:type="paragraph" w:styleId="SVOtblzattartalma" w:customStyle="1">
    <w:name w:val="SVO_táblázat_tartalma"/>
    <w:basedOn w:val="SVOtblzatcme"/>
    <w:autoRedefine/>
    <w:qFormat/>
    <w:rsid w:val="00bb221d"/>
    <w:pPr>
      <w:keepNext w:val="false"/>
      <w:spacing w:before="60" w:after="60"/>
      <w:ind w:hanging="0"/>
      <w:contextualSpacing/>
      <w:jc w:val="center"/>
    </w:pPr>
    <w:rPr>
      <w:lang w:eastAsia="hu-HU"/>
    </w:rPr>
  </w:style>
  <w:style w:type="paragraph" w:styleId="SVOtblzatmegjegyzsei" w:customStyle="1">
    <w:name w:val="SVO_táblázat_megjegyzései"/>
    <w:basedOn w:val="SVOtblzattartalma"/>
    <w:next w:val="SVOnorml"/>
    <w:qFormat/>
    <w:rsid w:val="00cb37db"/>
    <w:pPr>
      <w:ind w:left="284" w:right="284" w:hanging="0"/>
      <w:mirrorIndents/>
      <w:jc w:val="both"/>
    </w:pPr>
    <w:rPr/>
  </w:style>
  <w:style w:type="paragraph" w:styleId="SVOirodalomjegyzk" w:customStyle="1">
    <w:name w:val="SVO_irodalomjegyzék"/>
    <w:basedOn w:val="SVOnorml"/>
    <w:qFormat/>
    <w:rsid w:val="00cb37db"/>
    <w:pPr>
      <w:tabs>
        <w:tab w:val="clear" w:pos="708"/>
        <w:tab w:val="left" w:pos="567" w:leader="none"/>
      </w:tabs>
      <w:spacing w:before="0" w:after="0"/>
      <w:ind w:left="567" w:hanging="567"/>
      <w:jc w:val="left"/>
    </w:pPr>
    <w:rPr/>
  </w:style>
  <w:style w:type="paragraph" w:styleId="SVOegyenlet" w:customStyle="1">
    <w:name w:val="SVO_egyenlet"/>
    <w:basedOn w:val="SVOnorml"/>
    <w:next w:val="Normal"/>
    <w:qFormat/>
    <w:rsid w:val="009457e1"/>
    <w:pPr>
      <w:spacing w:before="60" w:after="60"/>
      <w:ind w:hanging="0"/>
      <w:contextualSpacing/>
      <w:jc w:val="center"/>
    </w:pPr>
    <w:rPr>
      <w:rFonts w:ascii="Cambria Math" w:hAnsi="Cambria Math"/>
      <w:i/>
      <w:iCs/>
      <w:lang w:eastAsia="hu-HU"/>
    </w:rPr>
  </w:style>
  <w:style w:type="paragraph" w:styleId="SVOfelsorolsegyszint" w:customStyle="1">
    <w:name w:val="SVO_felsorolás_egyszintű"/>
    <w:basedOn w:val="SVOnorml"/>
    <w:next w:val="SVOnorml"/>
    <w:autoRedefine/>
    <w:qFormat/>
    <w:rsid w:val="00bf4c4c"/>
    <w:pPr>
      <w:tabs>
        <w:tab w:val="clear" w:pos="708"/>
        <w:tab w:val="left" w:pos="567" w:leader="none"/>
      </w:tabs>
      <w:ind w:left="851" w:hanging="567"/>
    </w:pPr>
    <w:rPr>
      <w:rFonts w:cs="Times New Roman"/>
    </w:rPr>
  </w:style>
  <w:style w:type="paragraph" w:styleId="SVOfelsorolstbbszint" w:customStyle="1">
    <w:name w:val="SVO_felsorolás_többszintű"/>
    <w:basedOn w:val="SVOnorml"/>
    <w:next w:val="SVOnorml"/>
    <w:qFormat/>
    <w:rsid w:val="00334243"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Rcsostblzat">
    <w:name w:val="Table Grid"/>
    <w:basedOn w:val="Normltblzat"/>
    <w:uiPriority w:val="59"/>
    <w:rsid w:val="00745c96"/>
    <w:pPr>
      <w:spacing w:after="0" w:line="240" w:lineRule="auto"/>
    </w:pPr>
    <w:rPr>
      <w:lang w:eastAsia="hu-H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LibreOffice/6.4.7.2$Linux_X86_64 LibreOffice_project/40$Build-2</Application>
  <Pages>3</Pages>
  <Words>292</Words>
  <Characters>1838</Characters>
  <CharactersWithSpaces>2034</CharactersWithSpaces>
  <Paragraphs>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2022-02-21T11:09:00Z</dcterms:created>
  <dc:creator>AlphaRocker</dc:creator>
  <dc:description/>
  <dc:language>hu-HU</dc:language>
  <cp:lastModifiedBy>ER</cp:lastModifiedBy>
  <dcterms:modified xsi:type="dcterms:W3CDTF">2022-02-21T11:09:00Z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